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3CA2" w14:textId="122535FB" w:rsidR="00D865BA" w:rsidRDefault="00D865BA"/>
    <w:p w14:paraId="0D2A9BB6" w14:textId="36A45209" w:rsidR="00923776" w:rsidRDefault="00923776"/>
    <w:p w14:paraId="46E0BC64" w14:textId="39DAC805" w:rsidR="00923776" w:rsidRPr="00314BF0" w:rsidRDefault="006370EA">
      <w:pPr>
        <w:rPr>
          <w:sz w:val="44"/>
          <w:szCs w:val="44"/>
        </w:rPr>
      </w:pPr>
      <w:r>
        <w:rPr>
          <w:sz w:val="44"/>
          <w:szCs w:val="44"/>
        </w:rPr>
        <w:t>Self-Refutation Arguments</w:t>
      </w:r>
      <w:r w:rsidR="00923776" w:rsidRPr="00314BF0">
        <w:rPr>
          <w:sz w:val="44"/>
          <w:szCs w:val="44"/>
        </w:rPr>
        <w:t xml:space="preserve"> | PI</w:t>
      </w:r>
      <w:r w:rsidR="001A0345">
        <w:rPr>
          <w:sz w:val="44"/>
          <w:szCs w:val="44"/>
        </w:rPr>
        <w:t>88031</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7"/>
        <w:gridCol w:w="6179"/>
      </w:tblGrid>
      <w:tr w:rsidR="00923776" w:rsidRPr="00923776" w14:paraId="488503C5" w14:textId="77777777" w:rsidTr="00314BF0">
        <w:tc>
          <w:tcPr>
            <w:tcW w:w="2830" w:type="dxa"/>
            <w:shd w:val="clear" w:color="auto" w:fill="F2F2F2" w:themeFill="background1" w:themeFillShade="F2"/>
          </w:tcPr>
          <w:p w14:paraId="45443C82" w14:textId="59353067" w:rsidR="00923776" w:rsidRPr="00923776" w:rsidRDefault="00923776">
            <w:pPr>
              <w:rPr>
                <w:sz w:val="24"/>
                <w:szCs w:val="24"/>
              </w:rPr>
            </w:pPr>
            <w:r w:rsidRPr="00923776">
              <w:rPr>
                <w:sz w:val="24"/>
                <w:szCs w:val="24"/>
              </w:rPr>
              <w:t>Year</w:t>
            </w:r>
          </w:p>
        </w:tc>
        <w:tc>
          <w:tcPr>
            <w:tcW w:w="6186" w:type="dxa"/>
            <w:shd w:val="clear" w:color="auto" w:fill="F2F2F2" w:themeFill="background1" w:themeFillShade="F2"/>
          </w:tcPr>
          <w:p w14:paraId="65D21BE5" w14:textId="7127DD12" w:rsidR="00923776" w:rsidRPr="00923776" w:rsidRDefault="001A0345">
            <w:pPr>
              <w:rPr>
                <w:sz w:val="24"/>
                <w:szCs w:val="24"/>
              </w:rPr>
            </w:pPr>
            <w:r>
              <w:rPr>
                <w:sz w:val="24"/>
                <w:szCs w:val="24"/>
              </w:rPr>
              <w:t>PhD student</w:t>
            </w:r>
          </w:p>
        </w:tc>
      </w:tr>
      <w:tr w:rsidR="00923776" w:rsidRPr="00923776" w14:paraId="4575181E" w14:textId="77777777" w:rsidTr="00314BF0">
        <w:tc>
          <w:tcPr>
            <w:tcW w:w="2830" w:type="dxa"/>
            <w:tcBorders>
              <w:bottom w:val="single" w:sz="8" w:space="0" w:color="auto"/>
            </w:tcBorders>
          </w:tcPr>
          <w:p w14:paraId="31EE85C4" w14:textId="031BE014" w:rsidR="00923776" w:rsidRPr="00923776" w:rsidRDefault="00923776">
            <w:pPr>
              <w:rPr>
                <w:sz w:val="24"/>
                <w:szCs w:val="24"/>
              </w:rPr>
            </w:pPr>
            <w:r w:rsidRPr="00923776">
              <w:rPr>
                <w:sz w:val="24"/>
                <w:szCs w:val="24"/>
              </w:rPr>
              <w:t>ECTS Credits</w:t>
            </w:r>
          </w:p>
        </w:tc>
        <w:tc>
          <w:tcPr>
            <w:tcW w:w="6186" w:type="dxa"/>
            <w:tcBorders>
              <w:bottom w:val="single" w:sz="8" w:space="0" w:color="auto"/>
            </w:tcBorders>
          </w:tcPr>
          <w:p w14:paraId="268E8AF1" w14:textId="043DE804" w:rsidR="00923776" w:rsidRPr="00923776" w:rsidRDefault="00923776">
            <w:pPr>
              <w:rPr>
                <w:sz w:val="24"/>
                <w:szCs w:val="24"/>
              </w:rPr>
            </w:pPr>
            <w:r>
              <w:rPr>
                <w:sz w:val="24"/>
                <w:szCs w:val="24"/>
              </w:rPr>
              <w:t>10</w:t>
            </w:r>
          </w:p>
        </w:tc>
      </w:tr>
      <w:tr w:rsidR="00923776" w:rsidRPr="00923776" w14:paraId="12A7871C" w14:textId="77777777" w:rsidTr="00314BF0">
        <w:tc>
          <w:tcPr>
            <w:tcW w:w="2830" w:type="dxa"/>
            <w:shd w:val="clear" w:color="auto" w:fill="F2F2F2" w:themeFill="background1" w:themeFillShade="F2"/>
          </w:tcPr>
          <w:p w14:paraId="382B0533" w14:textId="1BF86C39" w:rsidR="00923776" w:rsidRPr="00923776" w:rsidRDefault="00923776">
            <w:pPr>
              <w:rPr>
                <w:sz w:val="24"/>
                <w:szCs w:val="24"/>
              </w:rPr>
            </w:pPr>
            <w:r w:rsidRPr="00923776">
              <w:rPr>
                <w:sz w:val="24"/>
                <w:szCs w:val="24"/>
              </w:rPr>
              <w:t>Contact Hours</w:t>
            </w:r>
          </w:p>
        </w:tc>
        <w:tc>
          <w:tcPr>
            <w:tcW w:w="6186" w:type="dxa"/>
            <w:shd w:val="clear" w:color="auto" w:fill="F2F2F2" w:themeFill="background1" w:themeFillShade="F2"/>
          </w:tcPr>
          <w:p w14:paraId="6573483F" w14:textId="6A3B616F" w:rsidR="00923776" w:rsidRPr="00923776" w:rsidRDefault="00923776">
            <w:pPr>
              <w:rPr>
                <w:sz w:val="24"/>
                <w:szCs w:val="24"/>
              </w:rPr>
            </w:pPr>
            <w:r>
              <w:rPr>
                <w:sz w:val="24"/>
                <w:szCs w:val="24"/>
              </w:rPr>
              <w:t xml:space="preserve">22 </w:t>
            </w:r>
          </w:p>
        </w:tc>
      </w:tr>
      <w:tr w:rsidR="00923776" w:rsidRPr="00923776" w14:paraId="4D770063" w14:textId="77777777" w:rsidTr="00314BF0">
        <w:tc>
          <w:tcPr>
            <w:tcW w:w="2830" w:type="dxa"/>
            <w:tcBorders>
              <w:bottom w:val="single" w:sz="8" w:space="0" w:color="auto"/>
            </w:tcBorders>
          </w:tcPr>
          <w:p w14:paraId="3FF6F811" w14:textId="4A0E4F9C" w:rsidR="00923776" w:rsidRPr="00923776" w:rsidRDefault="00923776">
            <w:pPr>
              <w:rPr>
                <w:sz w:val="24"/>
                <w:szCs w:val="24"/>
              </w:rPr>
            </w:pPr>
            <w:r w:rsidRPr="00923776">
              <w:rPr>
                <w:sz w:val="24"/>
                <w:szCs w:val="24"/>
              </w:rPr>
              <w:t>Pre-requisite</w:t>
            </w:r>
          </w:p>
        </w:tc>
        <w:tc>
          <w:tcPr>
            <w:tcW w:w="6186" w:type="dxa"/>
            <w:tcBorders>
              <w:bottom w:val="single" w:sz="8" w:space="0" w:color="auto"/>
            </w:tcBorders>
          </w:tcPr>
          <w:p w14:paraId="0097752D" w14:textId="26BA4F68" w:rsidR="00923776" w:rsidRPr="00923776" w:rsidRDefault="00923776">
            <w:pPr>
              <w:rPr>
                <w:sz w:val="24"/>
                <w:szCs w:val="24"/>
              </w:rPr>
            </w:pPr>
            <w:r>
              <w:rPr>
                <w:sz w:val="24"/>
                <w:szCs w:val="24"/>
              </w:rPr>
              <w:t>None</w:t>
            </w:r>
          </w:p>
        </w:tc>
      </w:tr>
      <w:tr w:rsidR="00923776" w:rsidRPr="00923776" w14:paraId="25CA52A3" w14:textId="77777777" w:rsidTr="00314BF0">
        <w:tc>
          <w:tcPr>
            <w:tcW w:w="2830" w:type="dxa"/>
            <w:shd w:val="clear" w:color="auto" w:fill="F2F2F2" w:themeFill="background1" w:themeFillShade="F2"/>
          </w:tcPr>
          <w:p w14:paraId="6956A2EA" w14:textId="18F7FE69" w:rsidR="00923776" w:rsidRPr="00923776" w:rsidRDefault="00923776">
            <w:pPr>
              <w:rPr>
                <w:sz w:val="24"/>
                <w:szCs w:val="24"/>
              </w:rPr>
            </w:pPr>
            <w:r w:rsidRPr="00923776">
              <w:rPr>
                <w:sz w:val="24"/>
                <w:szCs w:val="24"/>
              </w:rPr>
              <w:t>Semester</w:t>
            </w:r>
          </w:p>
        </w:tc>
        <w:tc>
          <w:tcPr>
            <w:tcW w:w="6186" w:type="dxa"/>
            <w:shd w:val="clear" w:color="auto" w:fill="F2F2F2" w:themeFill="background1" w:themeFillShade="F2"/>
          </w:tcPr>
          <w:p w14:paraId="3BB4E537" w14:textId="54850D57" w:rsidR="00923776" w:rsidRPr="00923776" w:rsidRDefault="00923776">
            <w:pPr>
              <w:rPr>
                <w:sz w:val="24"/>
                <w:szCs w:val="24"/>
              </w:rPr>
            </w:pPr>
            <w:r>
              <w:rPr>
                <w:sz w:val="24"/>
                <w:szCs w:val="24"/>
              </w:rPr>
              <w:t>1</w:t>
            </w:r>
          </w:p>
        </w:tc>
      </w:tr>
      <w:tr w:rsidR="00923776" w:rsidRPr="00923776" w14:paraId="2927C244" w14:textId="77777777" w:rsidTr="00314BF0">
        <w:tc>
          <w:tcPr>
            <w:tcW w:w="2830" w:type="dxa"/>
            <w:tcBorders>
              <w:bottom w:val="single" w:sz="8" w:space="0" w:color="auto"/>
            </w:tcBorders>
          </w:tcPr>
          <w:p w14:paraId="5DD10105" w14:textId="163CEA89" w:rsidR="00923776" w:rsidRPr="00923776" w:rsidRDefault="00923776">
            <w:pPr>
              <w:rPr>
                <w:sz w:val="24"/>
                <w:szCs w:val="24"/>
              </w:rPr>
            </w:pPr>
            <w:r w:rsidRPr="00923776">
              <w:rPr>
                <w:sz w:val="24"/>
                <w:szCs w:val="24"/>
              </w:rPr>
              <w:t>Module Leader &amp; Lecturer</w:t>
            </w:r>
          </w:p>
        </w:tc>
        <w:tc>
          <w:tcPr>
            <w:tcW w:w="6186" w:type="dxa"/>
            <w:tcBorders>
              <w:bottom w:val="single" w:sz="8" w:space="0" w:color="auto"/>
            </w:tcBorders>
          </w:tcPr>
          <w:p w14:paraId="3620F36F" w14:textId="042B641C" w:rsidR="00923776" w:rsidRPr="00923776" w:rsidRDefault="002C472A">
            <w:pPr>
              <w:rPr>
                <w:sz w:val="24"/>
                <w:szCs w:val="24"/>
              </w:rPr>
            </w:pPr>
            <w:r>
              <w:rPr>
                <w:sz w:val="24"/>
                <w:szCs w:val="24"/>
              </w:rPr>
              <w:t>James Levine</w:t>
            </w:r>
          </w:p>
        </w:tc>
      </w:tr>
      <w:tr w:rsidR="00923776" w:rsidRPr="00923776" w14:paraId="6077190F" w14:textId="77777777" w:rsidTr="00314BF0">
        <w:tc>
          <w:tcPr>
            <w:tcW w:w="2830" w:type="dxa"/>
            <w:shd w:val="clear" w:color="auto" w:fill="F2F2F2" w:themeFill="background1" w:themeFillShade="F2"/>
          </w:tcPr>
          <w:p w14:paraId="7554757B" w14:textId="4771F19B" w:rsidR="00923776" w:rsidRPr="00923776" w:rsidRDefault="00923776">
            <w:pPr>
              <w:rPr>
                <w:sz w:val="24"/>
                <w:szCs w:val="24"/>
              </w:rPr>
            </w:pPr>
            <w:r w:rsidRPr="00923776">
              <w:rPr>
                <w:sz w:val="24"/>
                <w:szCs w:val="24"/>
              </w:rPr>
              <w:t xml:space="preserve">Contact </w:t>
            </w:r>
            <w:r w:rsidR="00B763BE">
              <w:rPr>
                <w:sz w:val="24"/>
                <w:szCs w:val="24"/>
              </w:rPr>
              <w:t>E</w:t>
            </w:r>
            <w:r w:rsidRPr="00923776">
              <w:rPr>
                <w:sz w:val="24"/>
                <w:szCs w:val="24"/>
              </w:rPr>
              <w:t>mail</w:t>
            </w:r>
          </w:p>
        </w:tc>
        <w:tc>
          <w:tcPr>
            <w:tcW w:w="6186" w:type="dxa"/>
            <w:shd w:val="clear" w:color="auto" w:fill="F2F2F2" w:themeFill="background1" w:themeFillShade="F2"/>
          </w:tcPr>
          <w:p w14:paraId="442BD42A" w14:textId="6EB27919" w:rsidR="00923776" w:rsidRPr="00314BF0" w:rsidRDefault="00000000">
            <w:pPr>
              <w:rPr>
                <w:sz w:val="24"/>
                <w:szCs w:val="24"/>
              </w:rPr>
            </w:pPr>
            <w:hyperlink r:id="rId6" w:history="1">
              <w:r w:rsidR="006370EA" w:rsidRPr="006173B6">
                <w:rPr>
                  <w:rStyle w:val="Hyperlink"/>
                </w:rPr>
                <w:t>jlevine</w:t>
              </w:r>
              <w:r w:rsidR="006370EA" w:rsidRPr="006173B6">
                <w:rPr>
                  <w:rStyle w:val="Hyperlink"/>
                  <w:sz w:val="24"/>
                  <w:szCs w:val="24"/>
                </w:rPr>
                <w:t>@tcd.ie</w:t>
              </w:r>
            </w:hyperlink>
            <w:r w:rsidR="00314BF0" w:rsidRPr="00314BF0">
              <w:rPr>
                <w:sz w:val="24"/>
                <w:szCs w:val="24"/>
              </w:rPr>
              <w:t xml:space="preserve"> </w:t>
            </w:r>
          </w:p>
        </w:tc>
      </w:tr>
    </w:tbl>
    <w:p w14:paraId="69A6EF23" w14:textId="2A2CE5D4" w:rsidR="00923776" w:rsidRDefault="00923776"/>
    <w:p w14:paraId="6CED1E61" w14:textId="5A7B901D" w:rsidR="00923776" w:rsidRPr="00923776" w:rsidRDefault="00923776">
      <w:pPr>
        <w:rPr>
          <w:sz w:val="32"/>
          <w:szCs w:val="32"/>
        </w:rPr>
      </w:pPr>
      <w:r w:rsidRPr="00923776">
        <w:rPr>
          <w:sz w:val="32"/>
          <w:szCs w:val="32"/>
        </w:rPr>
        <w:t>Module Outline:</w:t>
      </w:r>
    </w:p>
    <w:p w14:paraId="7BF846B4" w14:textId="48D0EA73" w:rsidR="00923776" w:rsidRPr="00B75175" w:rsidRDefault="002C472A">
      <w:pPr>
        <w:rPr>
          <w:rFonts w:ascii="Arial" w:hAnsi="Arial" w:cs="Arial"/>
          <w:sz w:val="24"/>
          <w:szCs w:val="24"/>
        </w:rPr>
      </w:pPr>
      <w:r w:rsidRPr="00F17F1B">
        <w:rPr>
          <w:rFonts w:ascii="Arial" w:hAnsi="Arial" w:cs="Arial"/>
          <w:sz w:val="24"/>
          <w:szCs w:val="24"/>
        </w:rPr>
        <w:t xml:space="preserve">Throughout the history of philosophy, the charge has often been made that a given position is “self–refuting” or that it cannot be coherently thought or stated. Such a criticism </w:t>
      </w:r>
      <w:r w:rsidR="00B75175">
        <w:rPr>
          <w:rFonts w:ascii="Arial" w:hAnsi="Arial" w:cs="Arial"/>
          <w:sz w:val="24"/>
          <w:szCs w:val="24"/>
        </w:rPr>
        <w:t>has been</w:t>
      </w:r>
      <w:r w:rsidRPr="00F17F1B">
        <w:rPr>
          <w:rFonts w:ascii="Arial" w:hAnsi="Arial" w:cs="Arial"/>
          <w:sz w:val="24"/>
          <w:szCs w:val="24"/>
        </w:rPr>
        <w:t xml:space="preserve"> made, for example, against certain forms of relativism; but it is also made by Berkeley against the “realism” he opposes, as well as by critics of Kant, who claim it is “self–refuting” for him to hold that we can know nothing about things “as they are in themselves”</w:t>
      </w:r>
      <w:r>
        <w:rPr>
          <w:rFonts w:ascii="Arial" w:hAnsi="Arial" w:cs="Arial"/>
          <w:sz w:val="24"/>
          <w:szCs w:val="24"/>
        </w:rPr>
        <w:t xml:space="preserve">, and issues involving self-refutation play a central role in the different ways in which Russell and the early Wittgenstein approach the issue of solipsism.  </w:t>
      </w:r>
      <w:r w:rsidRPr="00F17F1B">
        <w:rPr>
          <w:rFonts w:ascii="Arial" w:hAnsi="Arial" w:cs="Arial"/>
          <w:sz w:val="24"/>
          <w:szCs w:val="24"/>
        </w:rPr>
        <w:t>Some of the readings we will look at will attempt to articulate the structure of self–refutation arguments; others either use such arguments against others or defend themselves against the charge that their own position is self–refuting.  The topic is a large one and runs throughout the history of philosophy; which readings we focus</w:t>
      </w:r>
      <w:r w:rsidR="008F00AE">
        <w:rPr>
          <w:rFonts w:ascii="Arial" w:hAnsi="Arial" w:cs="Arial"/>
          <w:sz w:val="24"/>
          <w:szCs w:val="24"/>
        </w:rPr>
        <w:t xml:space="preserve"> on</w:t>
      </w:r>
      <w:r w:rsidRPr="00F17F1B">
        <w:rPr>
          <w:rFonts w:ascii="Arial" w:hAnsi="Arial" w:cs="Arial"/>
          <w:sz w:val="24"/>
          <w:szCs w:val="24"/>
        </w:rPr>
        <w:t xml:space="preserve"> will</w:t>
      </w:r>
      <w:r>
        <w:rPr>
          <w:rFonts w:ascii="Arial" w:hAnsi="Arial" w:cs="Arial"/>
          <w:sz w:val="24"/>
          <w:szCs w:val="24"/>
        </w:rPr>
        <w:t xml:space="preserve"> </w:t>
      </w:r>
      <w:r w:rsidRPr="00F17F1B">
        <w:rPr>
          <w:rFonts w:ascii="Arial" w:hAnsi="Arial" w:cs="Arial"/>
          <w:sz w:val="24"/>
          <w:szCs w:val="24"/>
        </w:rPr>
        <w:t>be determined to some extent by student interest.</w:t>
      </w:r>
      <w:r>
        <w:rPr>
          <w:rFonts w:ascii="Arial" w:hAnsi="Arial" w:cs="Arial"/>
          <w:sz w:val="24"/>
          <w:szCs w:val="24"/>
        </w:rPr>
        <w:t xml:space="preserve">  In addition to the philosophers mentioned above, some readings we may look at include </w:t>
      </w:r>
      <w:r w:rsidRPr="00F17F1B">
        <w:rPr>
          <w:rFonts w:ascii="Arial" w:hAnsi="Arial" w:cs="Arial"/>
          <w:sz w:val="24"/>
          <w:szCs w:val="24"/>
        </w:rPr>
        <w:t>Donald Davidson (“On the Very Idea of a Conceptual Scheme”), Thomas Nagel (</w:t>
      </w:r>
      <w:r w:rsidRPr="00F17F1B">
        <w:rPr>
          <w:rFonts w:ascii="Arial" w:hAnsi="Arial" w:cs="Arial"/>
          <w:i/>
          <w:sz w:val="24"/>
          <w:szCs w:val="24"/>
        </w:rPr>
        <w:t>The View from Nowhere</w:t>
      </w:r>
      <w:r w:rsidRPr="00F17F1B">
        <w:rPr>
          <w:rFonts w:ascii="Arial" w:hAnsi="Arial" w:cs="Arial"/>
          <w:sz w:val="24"/>
          <w:szCs w:val="24"/>
        </w:rPr>
        <w:t>,</w:t>
      </w:r>
      <w:r w:rsidRPr="00F17F1B">
        <w:rPr>
          <w:rFonts w:ascii="Arial" w:hAnsi="Arial" w:cs="Arial"/>
          <w:i/>
          <w:sz w:val="24"/>
          <w:szCs w:val="24"/>
        </w:rPr>
        <w:t xml:space="preserve"> The Last Word</w:t>
      </w:r>
      <w:r w:rsidRPr="00F17F1B">
        <w:rPr>
          <w:rFonts w:ascii="Arial" w:hAnsi="Arial" w:cs="Arial"/>
          <w:sz w:val="24"/>
          <w:szCs w:val="24"/>
        </w:rPr>
        <w:t>), Paul Boghossian (</w:t>
      </w:r>
      <w:r w:rsidRPr="00F17F1B">
        <w:rPr>
          <w:rFonts w:ascii="Arial" w:hAnsi="Arial" w:cs="Arial"/>
          <w:i/>
          <w:sz w:val="24"/>
          <w:szCs w:val="24"/>
        </w:rPr>
        <w:t>Fear of Knowledge</w:t>
      </w:r>
      <w:r w:rsidRPr="00F17F1B">
        <w:rPr>
          <w:rFonts w:ascii="Arial" w:hAnsi="Arial" w:cs="Arial"/>
          <w:sz w:val="24"/>
          <w:szCs w:val="24"/>
        </w:rPr>
        <w:t>), Barry Stroud (</w:t>
      </w:r>
      <w:r w:rsidRPr="00F17F1B">
        <w:rPr>
          <w:rFonts w:ascii="Arial" w:hAnsi="Arial" w:cs="Arial"/>
          <w:i/>
          <w:sz w:val="24"/>
          <w:szCs w:val="24"/>
        </w:rPr>
        <w:t>Engagement and Metaphysical Dissatisfaction</w:t>
      </w:r>
      <w:r w:rsidRPr="00F17F1B">
        <w:rPr>
          <w:rFonts w:ascii="Arial" w:hAnsi="Arial" w:cs="Arial"/>
          <w:sz w:val="24"/>
          <w:szCs w:val="24"/>
        </w:rPr>
        <w:t>) and Graham Priest (</w:t>
      </w:r>
      <w:r w:rsidRPr="00F17F1B">
        <w:rPr>
          <w:rFonts w:ascii="Arial" w:hAnsi="Arial" w:cs="Arial"/>
          <w:i/>
          <w:sz w:val="24"/>
          <w:szCs w:val="24"/>
        </w:rPr>
        <w:t>Beyond the Limits of Thought</w:t>
      </w:r>
      <w:r w:rsidRPr="00F17F1B">
        <w:rPr>
          <w:rFonts w:ascii="Arial" w:hAnsi="Arial" w:cs="Arial"/>
          <w:sz w:val="24"/>
          <w:szCs w:val="24"/>
        </w:rPr>
        <w:t xml:space="preserve">) as well as earlier writings from Parmenides, Plato, </w:t>
      </w:r>
      <w:proofErr w:type="spellStart"/>
      <w:r w:rsidRPr="00F17F1B">
        <w:rPr>
          <w:rFonts w:ascii="Arial" w:hAnsi="Arial" w:cs="Arial"/>
          <w:sz w:val="24"/>
          <w:szCs w:val="24"/>
        </w:rPr>
        <w:t>Sextus</w:t>
      </w:r>
      <w:proofErr w:type="spellEnd"/>
      <w:r w:rsidRPr="00F17F1B">
        <w:rPr>
          <w:rFonts w:ascii="Arial" w:hAnsi="Arial" w:cs="Arial"/>
          <w:sz w:val="24"/>
          <w:szCs w:val="24"/>
        </w:rPr>
        <w:t xml:space="preserve"> </w:t>
      </w:r>
      <w:proofErr w:type="spellStart"/>
      <w:r w:rsidRPr="00F17F1B">
        <w:rPr>
          <w:rFonts w:ascii="Arial" w:hAnsi="Arial" w:cs="Arial"/>
          <w:sz w:val="24"/>
          <w:szCs w:val="24"/>
        </w:rPr>
        <w:t>Empiricus</w:t>
      </w:r>
      <w:proofErr w:type="spellEnd"/>
      <w:r w:rsidRPr="00F17F1B">
        <w:rPr>
          <w:rFonts w:ascii="Arial" w:hAnsi="Arial" w:cs="Arial"/>
          <w:sz w:val="24"/>
          <w:szCs w:val="24"/>
        </w:rPr>
        <w:t xml:space="preserve">, A. N. Prior, J. L. Mackie, and John Anderson, the influential Australian philosopher. </w:t>
      </w:r>
    </w:p>
    <w:p w14:paraId="44BA52B1" w14:textId="401E9547" w:rsidR="00923776" w:rsidRDefault="00923776">
      <w:pPr>
        <w:rPr>
          <w:sz w:val="32"/>
          <w:szCs w:val="32"/>
        </w:rPr>
      </w:pPr>
      <w:r w:rsidRPr="00923776">
        <w:rPr>
          <w:sz w:val="32"/>
          <w:szCs w:val="32"/>
        </w:rPr>
        <w:t>Assessment:</w:t>
      </w:r>
    </w:p>
    <w:p w14:paraId="55637A5C" w14:textId="19FB6532" w:rsidR="00852B8F" w:rsidRDefault="004A2427">
      <w:pPr>
        <w:rPr>
          <w:sz w:val="24"/>
          <w:szCs w:val="24"/>
        </w:rPr>
      </w:pPr>
      <w:r w:rsidRPr="00A12FF7">
        <w:rPr>
          <w:rFonts w:ascii="Arial" w:eastAsia="Times" w:hAnsi="Arial" w:cs="Arial"/>
          <w:color w:val="000000"/>
          <w:sz w:val="24"/>
          <w:szCs w:val="24"/>
        </w:rPr>
        <w:t>The assessment for this course will be the final essay, 3,000</w:t>
      </w:r>
      <w:r>
        <w:rPr>
          <w:rFonts w:ascii="Arial" w:eastAsia="Times" w:hAnsi="Arial" w:cs="Arial"/>
          <w:color w:val="000000"/>
          <w:sz w:val="24"/>
          <w:szCs w:val="24"/>
        </w:rPr>
        <w:t>-4,000</w:t>
      </w:r>
      <w:r w:rsidRPr="00A12FF7">
        <w:rPr>
          <w:rFonts w:ascii="Arial" w:eastAsia="Times" w:hAnsi="Arial" w:cs="Arial"/>
          <w:color w:val="000000"/>
          <w:sz w:val="24"/>
          <w:szCs w:val="24"/>
        </w:rPr>
        <w:t xml:space="preserve"> words</w:t>
      </w:r>
      <w:r>
        <w:rPr>
          <w:rFonts w:ascii="Arial" w:eastAsia="Times" w:hAnsi="Arial" w:cs="Arial"/>
          <w:color w:val="000000"/>
          <w:sz w:val="24"/>
          <w:szCs w:val="24"/>
        </w:rPr>
        <w:t xml:space="preserve"> in length</w:t>
      </w:r>
      <w:r w:rsidRPr="00A12FF7">
        <w:rPr>
          <w:rFonts w:ascii="Arial" w:eastAsia="Times" w:hAnsi="Arial" w:cs="Arial"/>
          <w:color w:val="000000"/>
          <w:sz w:val="24"/>
          <w:szCs w:val="24"/>
        </w:rPr>
        <w:t xml:space="preserve"> (including footnotes but not bibliography)</w:t>
      </w:r>
      <w:r w:rsidR="00852B8F">
        <w:rPr>
          <w:rFonts w:ascii="Arial" w:eastAsia="Times" w:hAnsi="Arial" w:cs="Arial"/>
          <w:color w:val="000000"/>
          <w:sz w:val="24"/>
          <w:szCs w:val="24"/>
        </w:rPr>
        <w:t>, which will be due Friday, January 3rd</w:t>
      </w:r>
      <w:r w:rsidRPr="00A12FF7">
        <w:rPr>
          <w:rFonts w:ascii="Arial" w:eastAsia="Times" w:hAnsi="Arial" w:cs="Arial"/>
          <w:color w:val="000000"/>
          <w:sz w:val="24"/>
          <w:szCs w:val="24"/>
        </w:rPr>
        <w:t>.  Students will choose the topic of their essay, but should clear it with me first and should send a brief (350-500 word) abstract of the essay to me at least three weeks before</w:t>
      </w:r>
      <w:r>
        <w:rPr>
          <w:rFonts w:ascii="Arial" w:eastAsia="Times" w:hAnsi="Arial" w:cs="Arial"/>
          <w:color w:val="000000"/>
          <w:sz w:val="24"/>
          <w:szCs w:val="24"/>
        </w:rPr>
        <w:t xml:space="preserve"> the deadline</w:t>
      </w:r>
      <w:r w:rsidR="001A0345">
        <w:rPr>
          <w:sz w:val="24"/>
          <w:szCs w:val="24"/>
        </w:rPr>
        <w:t>.</w:t>
      </w:r>
    </w:p>
    <w:p w14:paraId="5C65F73E" w14:textId="77777777" w:rsidR="00852B8F" w:rsidRDefault="00852B8F">
      <w:pPr>
        <w:rPr>
          <w:sz w:val="24"/>
          <w:szCs w:val="24"/>
        </w:rPr>
      </w:pPr>
      <w:r>
        <w:rPr>
          <w:sz w:val="24"/>
          <w:szCs w:val="24"/>
        </w:rPr>
        <w:br w:type="page"/>
      </w:r>
    </w:p>
    <w:p w14:paraId="4F9B759A" w14:textId="77777777" w:rsidR="00923776" w:rsidRPr="004A2427" w:rsidRDefault="00923776">
      <w:pPr>
        <w:rPr>
          <w:rFonts w:ascii="Arial" w:eastAsia="Times" w:hAnsi="Arial" w:cs="Arial"/>
          <w:color w:val="000000"/>
          <w:sz w:val="24"/>
          <w:szCs w:val="24"/>
        </w:rPr>
      </w:pPr>
    </w:p>
    <w:p w14:paraId="6B117246" w14:textId="05288254" w:rsidR="00923776" w:rsidRDefault="00923776">
      <w:pPr>
        <w:rPr>
          <w:sz w:val="32"/>
          <w:szCs w:val="32"/>
        </w:rPr>
      </w:pPr>
      <w:r w:rsidRPr="00923776">
        <w:rPr>
          <w:sz w:val="32"/>
          <w:szCs w:val="32"/>
        </w:rPr>
        <w:t>Recommended Reading List:</w:t>
      </w:r>
    </w:p>
    <w:p w14:paraId="17006450" w14:textId="77777777" w:rsidR="005A7A00" w:rsidRDefault="005A7A00" w:rsidP="005A7A00">
      <w:pPr>
        <w:rPr>
          <w:sz w:val="24"/>
          <w:szCs w:val="24"/>
        </w:rPr>
      </w:pPr>
      <w:r w:rsidRPr="00923776">
        <w:rPr>
          <w:sz w:val="24"/>
          <w:szCs w:val="24"/>
        </w:rPr>
        <w:t>An extensive and detailed reading list will be made available at the start of the module</w:t>
      </w:r>
      <w:r>
        <w:rPr>
          <w:sz w:val="24"/>
          <w:szCs w:val="24"/>
        </w:rPr>
        <w:t>, and readings will be made available on Blackboard</w:t>
      </w:r>
      <w:r w:rsidRPr="00923776">
        <w:rPr>
          <w:sz w:val="24"/>
          <w:szCs w:val="24"/>
        </w:rPr>
        <w:t xml:space="preserve">. </w:t>
      </w:r>
    </w:p>
    <w:p w14:paraId="126A5329" w14:textId="77777777" w:rsidR="005A7A00" w:rsidRDefault="005A7A00" w:rsidP="005A7A00">
      <w:pPr>
        <w:rPr>
          <w:sz w:val="24"/>
          <w:szCs w:val="24"/>
        </w:rPr>
      </w:pPr>
    </w:p>
    <w:p w14:paraId="140510AF" w14:textId="0AF1CF4C" w:rsidR="005A7A00" w:rsidRPr="00923776" w:rsidRDefault="005A7A00" w:rsidP="005A7A00">
      <w:pPr>
        <w:rPr>
          <w:sz w:val="24"/>
          <w:szCs w:val="24"/>
        </w:rPr>
      </w:pPr>
      <w:r w:rsidRPr="00923776">
        <w:rPr>
          <w:sz w:val="24"/>
          <w:szCs w:val="24"/>
        </w:rPr>
        <w:t>But</w:t>
      </w:r>
      <w:r>
        <w:rPr>
          <w:sz w:val="24"/>
          <w:szCs w:val="24"/>
        </w:rPr>
        <w:t xml:space="preserve"> in the first weeks, we’ll look at Berkeley’s “master argument” for idealism (see </w:t>
      </w:r>
      <w:r w:rsidRPr="00B75175">
        <w:rPr>
          <w:i/>
          <w:iCs/>
          <w:sz w:val="24"/>
          <w:szCs w:val="24"/>
        </w:rPr>
        <w:t>Principles of Human Knowledge</w:t>
      </w:r>
      <w:r>
        <w:rPr>
          <w:sz w:val="24"/>
          <w:szCs w:val="24"/>
        </w:rPr>
        <w:t xml:space="preserve">, §§23-24 and a comparable argument in the first of his Dialogues between </w:t>
      </w:r>
      <w:proofErr w:type="spellStart"/>
      <w:r>
        <w:rPr>
          <w:sz w:val="24"/>
          <w:szCs w:val="24"/>
        </w:rPr>
        <w:t>Hylas</w:t>
      </w:r>
      <w:proofErr w:type="spellEnd"/>
      <w:r>
        <w:rPr>
          <w:sz w:val="24"/>
          <w:szCs w:val="24"/>
        </w:rPr>
        <w:t xml:space="preserve"> and </w:t>
      </w:r>
      <w:proofErr w:type="spellStart"/>
      <w:r>
        <w:rPr>
          <w:sz w:val="24"/>
          <w:szCs w:val="24"/>
        </w:rPr>
        <w:t>Philonous</w:t>
      </w:r>
      <w:proofErr w:type="spellEnd"/>
      <w:r>
        <w:rPr>
          <w:sz w:val="24"/>
          <w:szCs w:val="24"/>
        </w:rPr>
        <w:t xml:space="preserve">), some interpretations of Berkeley’s argument, and J. L. Mackie’s paper “Self-Refutation—A Formal Analysis”, </w:t>
      </w:r>
      <w:r w:rsidRPr="002230E2">
        <w:rPr>
          <w:i/>
          <w:iCs/>
          <w:sz w:val="24"/>
          <w:szCs w:val="24"/>
        </w:rPr>
        <w:t>Philosophical Quarterly</w:t>
      </w:r>
      <w:r>
        <w:rPr>
          <w:sz w:val="24"/>
          <w:szCs w:val="24"/>
        </w:rPr>
        <w:t>, 1964, Vol. 14, No. 56, pp. 193-203.</w:t>
      </w:r>
    </w:p>
    <w:p w14:paraId="5C017CD3" w14:textId="77777777" w:rsidR="00923776" w:rsidRPr="00923776" w:rsidRDefault="00923776">
      <w:pPr>
        <w:rPr>
          <w:sz w:val="24"/>
          <w:szCs w:val="24"/>
        </w:rPr>
      </w:pPr>
    </w:p>
    <w:sectPr w:rsidR="00923776" w:rsidRPr="00923776" w:rsidSect="00314B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79B4E" w14:textId="77777777" w:rsidR="00702069" w:rsidRDefault="00702069" w:rsidP="00923776">
      <w:pPr>
        <w:spacing w:after="0" w:line="240" w:lineRule="auto"/>
      </w:pPr>
      <w:r>
        <w:separator/>
      </w:r>
    </w:p>
  </w:endnote>
  <w:endnote w:type="continuationSeparator" w:id="0">
    <w:p w14:paraId="3FB0A853" w14:textId="77777777" w:rsidR="00702069" w:rsidRDefault="00702069" w:rsidP="0092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322B7" w14:textId="77777777" w:rsidR="00702069" w:rsidRDefault="00702069" w:rsidP="00923776">
      <w:pPr>
        <w:spacing w:after="0" w:line="240" w:lineRule="auto"/>
      </w:pPr>
      <w:r>
        <w:separator/>
      </w:r>
    </w:p>
  </w:footnote>
  <w:footnote w:type="continuationSeparator" w:id="0">
    <w:p w14:paraId="0B98057F" w14:textId="77777777" w:rsidR="00702069" w:rsidRDefault="00702069" w:rsidP="0092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FC8" w14:textId="21570F2A" w:rsidR="00923776" w:rsidRDefault="00923776">
    <w:pPr>
      <w:pStyle w:val="Header"/>
    </w:pPr>
    <w:r>
      <w:rPr>
        <w:noProof/>
      </w:rPr>
      <w:drawing>
        <wp:inline distT="0" distB="0" distL="0" distR="0" wp14:anchorId="5463BEFF" wp14:editId="63A91B0B">
          <wp:extent cx="1603887" cy="428625"/>
          <wp:effectExtent l="0" t="0" r="0" b="0"/>
          <wp:docPr id="1" name="Picture 1" descr="A picture containing text, font,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tradem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0352" cy="430353"/>
                  </a:xfrm>
                  <a:prstGeom prst="rect">
                    <a:avLst/>
                  </a:prstGeom>
                </pic:spPr>
              </pic:pic>
            </a:graphicData>
          </a:graphic>
        </wp:inline>
      </w:drawing>
    </w:r>
    <w:r>
      <w:ptab w:relativeTo="margin" w:alignment="center" w:leader="none"/>
    </w:r>
    <w:r>
      <w:t xml:space="preserve">                             </w:t>
    </w:r>
    <w:r w:rsidR="006E433F">
      <w:t>Post</w:t>
    </w:r>
    <w:r>
      <w:t xml:space="preserve">graduate Philosophy | Module </w:t>
    </w:r>
    <w:r w:rsidR="006E433F">
      <w:t>Outlines</w:t>
    </w:r>
    <w:r>
      <w:t xml:space="preserve"> 202</w:t>
    </w:r>
    <w:r w:rsidR="004C6F2A">
      <w:t>4</w:t>
    </w:r>
    <w:r>
      <w:t>/2</w:t>
    </w:r>
    <w:r w:rsidR="004C6F2A">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6"/>
    <w:rsid w:val="000368FF"/>
    <w:rsid w:val="001A0345"/>
    <w:rsid w:val="001C1719"/>
    <w:rsid w:val="002230E2"/>
    <w:rsid w:val="002C028A"/>
    <w:rsid w:val="002C472A"/>
    <w:rsid w:val="00314BF0"/>
    <w:rsid w:val="003A5292"/>
    <w:rsid w:val="003D292E"/>
    <w:rsid w:val="004A2427"/>
    <w:rsid w:val="004C6F2A"/>
    <w:rsid w:val="004D6E80"/>
    <w:rsid w:val="004D7782"/>
    <w:rsid w:val="0054283D"/>
    <w:rsid w:val="005A7A00"/>
    <w:rsid w:val="006069AE"/>
    <w:rsid w:val="00634C74"/>
    <w:rsid w:val="006370EA"/>
    <w:rsid w:val="006E433F"/>
    <w:rsid w:val="00702069"/>
    <w:rsid w:val="00813757"/>
    <w:rsid w:val="00852B8F"/>
    <w:rsid w:val="008F00AE"/>
    <w:rsid w:val="00923776"/>
    <w:rsid w:val="00AD4E4F"/>
    <w:rsid w:val="00B75175"/>
    <w:rsid w:val="00B763BE"/>
    <w:rsid w:val="00BD2416"/>
    <w:rsid w:val="00C77225"/>
    <w:rsid w:val="00D865BA"/>
    <w:rsid w:val="00F27E59"/>
    <w:rsid w:val="00F66A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60D5"/>
  <w15:chartTrackingRefBased/>
  <w15:docId w15:val="{2E2A1C1F-4183-4003-B79E-EF525C0F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76"/>
  </w:style>
  <w:style w:type="paragraph" w:styleId="Footer">
    <w:name w:val="footer"/>
    <w:basedOn w:val="Normal"/>
    <w:link w:val="FooterChar"/>
    <w:uiPriority w:val="99"/>
    <w:unhideWhenUsed/>
    <w:rsid w:val="0092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76"/>
  </w:style>
  <w:style w:type="table" w:styleId="TableGrid">
    <w:name w:val="Table Grid"/>
    <w:basedOn w:val="TableNormal"/>
    <w:uiPriority w:val="39"/>
    <w:rsid w:val="0092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BF0"/>
    <w:rPr>
      <w:color w:val="0563C1" w:themeColor="hyperlink"/>
      <w:u w:val="single"/>
    </w:rPr>
  </w:style>
  <w:style w:type="character" w:styleId="UnresolvedMention">
    <w:name w:val="Unresolved Mention"/>
    <w:basedOn w:val="DefaultParagraphFont"/>
    <w:uiPriority w:val="99"/>
    <w:semiHidden/>
    <w:unhideWhenUsed/>
    <w:rsid w:val="00314BF0"/>
    <w:rPr>
      <w:color w:val="605E5C"/>
      <w:shd w:val="clear" w:color="auto" w:fill="E1DFDD"/>
    </w:rPr>
  </w:style>
  <w:style w:type="character" w:styleId="FollowedHyperlink">
    <w:name w:val="FollowedHyperlink"/>
    <w:basedOn w:val="DefaultParagraphFont"/>
    <w:uiPriority w:val="99"/>
    <w:semiHidden/>
    <w:unhideWhenUsed/>
    <w:rsid w:val="00637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evine@tcd.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Armstrong</dc:creator>
  <cp:keywords/>
  <dc:description/>
  <cp:lastModifiedBy>James Levine</cp:lastModifiedBy>
  <cp:revision>9</cp:revision>
  <dcterms:created xsi:type="dcterms:W3CDTF">2024-09-05T13:07:00Z</dcterms:created>
  <dcterms:modified xsi:type="dcterms:W3CDTF">2024-09-05T13:25:00Z</dcterms:modified>
</cp:coreProperties>
</file>